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24" w:rsidRDefault="009B68C0" w:rsidP="00377AE5">
      <w:pPr>
        <w:pStyle w:val="Title"/>
        <w:spacing w:after="0"/>
      </w:pPr>
      <w:r>
        <w:t>Solutions Manual</w:t>
      </w:r>
    </w:p>
    <w:p w:rsidR="00384D24" w:rsidRDefault="009B68C0" w:rsidP="00377AE5">
      <w:pPr>
        <w:pStyle w:val="Heading1"/>
        <w:spacing w:before="0" w:after="0"/>
      </w:pPr>
      <w:r>
        <w:rPr>
          <w:rFonts w:eastAsia="Times New Roman"/>
        </w:rPr>
        <w:t>Chapter 2</w:t>
      </w:r>
      <w:r>
        <w:rPr>
          <w:rFonts w:eastAsia="Times New Roman"/>
        </w:rPr>
        <w:t>: Operations and Supply Chain Strategies</w:t>
      </w:r>
    </w:p>
    <w:p w:rsidR="00384D24" w:rsidRDefault="00384D24" w:rsidP="00377AE5">
      <w:pPr>
        <w:spacing w:after="0"/>
      </w:pPr>
    </w:p>
    <w:p w:rsidR="00384D24" w:rsidRDefault="009B68C0" w:rsidP="00377AE5">
      <w:pPr>
        <w:spacing w:after="0"/>
        <w:rPr>
          <w:color w:val="000000"/>
        </w:rPr>
      </w:pPr>
      <w:r>
        <w:rPr>
          <w:color w:val="000000"/>
        </w:rPr>
        <w:t xml:space="preserve">1. Corporate strategy addresses improving economic performance of the firm and value creation for the shareholders. It can be argued that the triple bottom line takes a longer term and more inclusive perspective of value that is not as easily quantified but no less impactful than traditional measures. </w:t>
      </w:r>
    </w:p>
    <w:p w:rsidR="00384D24" w:rsidRDefault="009B68C0" w:rsidP="00377AE5">
      <w:pPr>
        <w:spacing w:after="0"/>
      </w:pPr>
      <w:r>
        <w:rPr>
          <w:color w:val="000000"/>
        </w:rPr>
        <w:t>Cognitive Domain: Knowledge</w:t>
      </w:r>
    </w:p>
    <w:p w:rsidR="00384D24" w:rsidRDefault="009B68C0" w:rsidP="00377AE5">
      <w:pPr>
        <w:spacing w:after="0"/>
      </w:pPr>
      <w:r>
        <w:t>Difficulty Level: Easy</w:t>
      </w:r>
    </w:p>
    <w:p w:rsidR="00384D24" w:rsidRDefault="00384D24" w:rsidP="00377AE5">
      <w:pPr>
        <w:spacing w:after="0"/>
      </w:pPr>
    </w:p>
    <w:p w:rsidR="00384D24" w:rsidRDefault="009B68C0" w:rsidP="00377AE5">
      <w:pPr>
        <w:tabs>
          <w:tab w:val="left" w:pos="720"/>
        </w:tabs>
        <w:spacing w:after="0"/>
        <w:rPr>
          <w:color w:val="000000"/>
        </w:rPr>
      </w:pPr>
      <w:r>
        <w:rPr>
          <w:color w:val="000000"/>
        </w:rPr>
        <w:t xml:space="preserve">2. </w:t>
      </w:r>
      <w:r w:rsidRPr="00CB7237">
        <w:rPr>
          <w:color w:val="000000"/>
        </w:rPr>
        <w:t xml:space="preserve">Adidas includes among </w:t>
      </w:r>
      <w:r>
        <w:rPr>
          <w:color w:val="000000"/>
        </w:rPr>
        <w:t>its</w:t>
      </w:r>
      <w:r w:rsidRPr="00CB7237">
        <w:rPr>
          <w:color w:val="000000"/>
        </w:rPr>
        <w:t xml:space="preserve"> </w:t>
      </w:r>
      <w:r w:rsidRPr="00CB7237">
        <w:rPr>
          <w:color w:val="000000"/>
        </w:rPr>
        <w:t>guiding principles</w:t>
      </w:r>
      <w:r>
        <w:rPr>
          <w:color w:val="000000"/>
        </w:rPr>
        <w:t>,</w:t>
      </w:r>
      <w:r w:rsidRPr="00CB7237">
        <w:rPr>
          <w:color w:val="000000"/>
        </w:rPr>
        <w:t xml:space="preserve"> “We are a global organisation that is socially and environmentally responsible, that embraces creativity and diversity and is financially rewarding for our employees and shareholders.” </w:t>
      </w:r>
      <w:r>
        <w:rPr>
          <w:color w:val="000000"/>
        </w:rPr>
        <w:t>Adidas’</w:t>
      </w:r>
      <w:r w:rsidR="004D1103">
        <w:rPr>
          <w:color w:val="000000"/>
        </w:rPr>
        <w:t>s</w:t>
      </w:r>
      <w:r>
        <w:rPr>
          <w:color w:val="000000"/>
        </w:rPr>
        <w:t xml:space="preserve"> other four principles address strengthening their brand, </w:t>
      </w:r>
      <w:r w:rsidR="004D1103">
        <w:rPr>
          <w:color w:val="000000"/>
        </w:rPr>
        <w:t xml:space="preserve">providing </w:t>
      </w:r>
      <w:r>
        <w:rPr>
          <w:color w:val="000000"/>
        </w:rPr>
        <w:t>continuous improvement for the customer, helping athletes achieve peak performance, and delivering outstanding financial results. These goals appear to be well</w:t>
      </w:r>
      <w:r w:rsidR="004D1103">
        <w:rPr>
          <w:color w:val="000000"/>
        </w:rPr>
        <w:t xml:space="preserve"> </w:t>
      </w:r>
      <w:r>
        <w:rPr>
          <w:color w:val="000000"/>
        </w:rPr>
        <w:t>considered and in no need of modification at this time.</w:t>
      </w:r>
    </w:p>
    <w:p w:rsidR="00384D24" w:rsidRDefault="009B68C0" w:rsidP="00377AE5">
      <w:pPr>
        <w:tabs>
          <w:tab w:val="left" w:pos="720"/>
        </w:tabs>
        <w:spacing w:after="0"/>
      </w:pPr>
      <w:r>
        <w:rPr>
          <w:color w:val="000000"/>
        </w:rPr>
        <w:t>Cognitive Domain: Analysis</w:t>
      </w:r>
    </w:p>
    <w:p w:rsidR="00384D24" w:rsidRDefault="009B68C0" w:rsidP="00377AE5">
      <w:pPr>
        <w:tabs>
          <w:tab w:val="left" w:pos="720"/>
        </w:tabs>
        <w:spacing w:after="0"/>
      </w:pPr>
      <w:r>
        <w:t>Difficulty Level: Medium</w:t>
      </w:r>
    </w:p>
    <w:p w:rsidR="00384D24" w:rsidRDefault="00384D24" w:rsidP="00377AE5">
      <w:pPr>
        <w:tabs>
          <w:tab w:val="left" w:pos="720"/>
        </w:tabs>
        <w:spacing w:after="0"/>
        <w:rPr>
          <w:color w:val="000000"/>
        </w:rPr>
      </w:pPr>
    </w:p>
    <w:p w:rsidR="00384D24" w:rsidRDefault="009B68C0" w:rsidP="00377AE5">
      <w:pPr>
        <w:tabs>
          <w:tab w:val="left" w:pos="720"/>
        </w:tabs>
        <w:spacing w:after="0"/>
      </w:pPr>
      <w:r>
        <w:t>3. Boeing’s customers include airlines and the flying public. Their core competencies include designing and customizing aircraft and multisourcing. Boeing’s operational critical success factors are flexibility (each plane is a snowflake) and coordination of a complex international supply chain. Their product factors recognize that they are dealing with a mature</w:t>
      </w:r>
      <w:r w:rsidR="004D1103">
        <w:t>,</w:t>
      </w:r>
      <w:r>
        <w:t xml:space="preserve"> high</w:t>
      </w:r>
      <w:r w:rsidR="004D1103">
        <w:t>-</w:t>
      </w:r>
      <w:r>
        <w:t xml:space="preserve">tech product </w:t>
      </w:r>
      <w:r w:rsidR="004D1103">
        <w:t xml:space="preserve">for which </w:t>
      </w:r>
      <w:r>
        <w:t>traceability is mandated by regulatory agencies. This product must deliver value to industry customers that have historically had thin margins.</w:t>
      </w:r>
    </w:p>
    <w:p w:rsidR="00384D24" w:rsidRDefault="009B68C0" w:rsidP="00377AE5">
      <w:pPr>
        <w:tabs>
          <w:tab w:val="left" w:pos="720"/>
        </w:tabs>
        <w:spacing w:after="0"/>
      </w:pPr>
      <w:r>
        <w:rPr>
          <w:color w:val="000000"/>
        </w:rPr>
        <w:t>Cognitive Domain: Analysis</w:t>
      </w:r>
    </w:p>
    <w:p w:rsidR="00384D24" w:rsidRDefault="009B68C0" w:rsidP="00377AE5">
      <w:pPr>
        <w:tabs>
          <w:tab w:val="left" w:pos="720"/>
        </w:tabs>
        <w:spacing w:after="0"/>
      </w:pPr>
      <w:r>
        <w:t>Difficulty Level: Medium</w:t>
      </w:r>
    </w:p>
    <w:p w:rsidR="00384D24" w:rsidRDefault="00384D24" w:rsidP="00377AE5">
      <w:pPr>
        <w:tabs>
          <w:tab w:val="left" w:pos="720"/>
        </w:tabs>
        <w:spacing w:after="0"/>
      </w:pPr>
    </w:p>
    <w:p w:rsidR="00384D24" w:rsidRDefault="009B68C0" w:rsidP="00377AE5">
      <w:pPr>
        <w:tabs>
          <w:tab w:val="left" w:pos="720"/>
        </w:tabs>
        <w:spacing w:after="0"/>
      </w:pPr>
      <w:r>
        <w:t>4. The extra revenue potential from an early start to the Christmas shopping season must be balanced against the disruption in workers’ lives as they are scheduled to work on a traditional holiday. Exposure on social media may drive some customers to the store and drive others away.</w:t>
      </w:r>
    </w:p>
    <w:p w:rsidR="00384D24" w:rsidRDefault="009B68C0" w:rsidP="00377AE5">
      <w:pPr>
        <w:tabs>
          <w:tab w:val="left" w:pos="720"/>
        </w:tabs>
        <w:spacing w:after="0"/>
      </w:pPr>
      <w:r>
        <w:rPr>
          <w:color w:val="000000"/>
        </w:rPr>
        <w:t>Cognitive Domain: Analysis</w:t>
      </w:r>
    </w:p>
    <w:p w:rsidR="00384D24" w:rsidRDefault="009B68C0" w:rsidP="00377AE5">
      <w:pPr>
        <w:tabs>
          <w:tab w:val="left" w:pos="720"/>
        </w:tabs>
        <w:spacing w:after="0"/>
      </w:pPr>
      <w:r>
        <w:t>Difficulty Level: Medium</w:t>
      </w:r>
    </w:p>
    <w:p w:rsidR="00384D24" w:rsidRDefault="00384D24" w:rsidP="00377AE5">
      <w:pPr>
        <w:tabs>
          <w:tab w:val="left" w:pos="720"/>
        </w:tabs>
        <w:spacing w:after="0"/>
      </w:pPr>
    </w:p>
    <w:p w:rsidR="00384D24" w:rsidRDefault="009B68C0" w:rsidP="00377AE5">
      <w:pPr>
        <w:tabs>
          <w:tab w:val="left" w:pos="720"/>
        </w:tabs>
        <w:spacing w:after="0"/>
      </w:pPr>
      <w:r>
        <w:t>5. These answers are from the perspective of a U.S. company: a</w:t>
      </w:r>
      <w:r w:rsidR="00AE69CD">
        <w:t>)</w:t>
      </w:r>
      <w:r>
        <w:t xml:space="preserve"> might impact choices for outsourcing services; b</w:t>
      </w:r>
      <w:r w:rsidR="00AE69CD">
        <w:t>)</w:t>
      </w:r>
      <w:r>
        <w:t xml:space="preserve"> could delay implementation of green/sustainability initiatives; c</w:t>
      </w:r>
      <w:r w:rsidR="00AE69CD">
        <w:t>)</w:t>
      </w:r>
      <w:r>
        <w:t xml:space="preserve"> imports may be cheaper so increased outsourcing a possibility; d</w:t>
      </w:r>
      <w:r w:rsidR="00AE69CD">
        <w:t>)</w:t>
      </w:r>
      <w:r>
        <w:t xml:space="preserve"> could accelerate green/sustainability initiatives; e</w:t>
      </w:r>
      <w:r w:rsidR="00AE69CD">
        <w:t>)</w:t>
      </w:r>
      <w:r>
        <w:t xml:space="preserve"> could delay implementation of system requiring extensive training or social media components; f</w:t>
      </w:r>
      <w:r w:rsidR="00AE69CD">
        <w:t>)</w:t>
      </w:r>
      <w:r>
        <w:t xml:space="preserve"> for companies just over the 50</w:t>
      </w:r>
      <w:r w:rsidR="004D1103">
        <w:t>-</w:t>
      </w:r>
      <w:r>
        <w:t>worker level, there might be an incentive to downsize via outsourcing or automation.</w:t>
      </w:r>
    </w:p>
    <w:p w:rsidR="00384D24" w:rsidRDefault="009B68C0" w:rsidP="00377AE5">
      <w:pPr>
        <w:tabs>
          <w:tab w:val="left" w:pos="720"/>
        </w:tabs>
        <w:spacing w:after="0"/>
      </w:pPr>
      <w:r>
        <w:rPr>
          <w:color w:val="000000"/>
        </w:rPr>
        <w:t>Cognitive Domain: Analysis</w:t>
      </w:r>
    </w:p>
    <w:p w:rsidR="00384D24" w:rsidRDefault="009B68C0" w:rsidP="00377AE5">
      <w:pPr>
        <w:tabs>
          <w:tab w:val="left" w:pos="720"/>
        </w:tabs>
        <w:spacing w:after="0"/>
      </w:pPr>
      <w:r>
        <w:t>Difficulty Level: Medium</w:t>
      </w:r>
    </w:p>
    <w:p w:rsidR="00384D24" w:rsidRDefault="00384D24" w:rsidP="00377AE5">
      <w:pPr>
        <w:tabs>
          <w:tab w:val="left" w:pos="720"/>
        </w:tabs>
        <w:spacing w:after="0"/>
      </w:pPr>
    </w:p>
    <w:p w:rsidR="00384D24" w:rsidRDefault="009B68C0" w:rsidP="00377AE5">
      <w:pPr>
        <w:tabs>
          <w:tab w:val="left" w:pos="720"/>
        </w:tabs>
        <w:spacing w:after="0"/>
      </w:pPr>
      <w:r>
        <w:lastRenderedPageBreak/>
        <w:t>6. Examples include</w:t>
      </w:r>
      <w:r w:rsidR="004D1103">
        <w:t xml:space="preserve"> the following</w:t>
      </w:r>
      <w:r>
        <w:t>: employees’ ability to rapidly design and program</w:t>
      </w:r>
      <w:r w:rsidR="004D1103">
        <w:t>;</w:t>
      </w:r>
      <w:r>
        <w:t xml:space="preserve"> company’s ability to partner with streaming services</w:t>
      </w:r>
      <w:r w:rsidR="004D1103">
        <w:t>;</w:t>
      </w:r>
      <w:r>
        <w:t xml:space="preserve"> rollout of super</w:t>
      </w:r>
      <w:r w:rsidR="004D1103">
        <w:t>-</w:t>
      </w:r>
      <w:r>
        <w:t>high</w:t>
      </w:r>
      <w:r w:rsidR="004D1103">
        <w:t>-</w:t>
      </w:r>
      <w:r>
        <w:t xml:space="preserve">speed </w:t>
      </w:r>
      <w:r w:rsidR="004D1103">
        <w:t>I</w:t>
      </w:r>
      <w:r>
        <w:t>nternet in select metropolitan areas</w:t>
      </w:r>
      <w:r w:rsidR="004D1103">
        <w:t>;</w:t>
      </w:r>
      <w:r>
        <w:t xml:space="preserve"> accessibility of broadband in more rural areas</w:t>
      </w:r>
      <w:r w:rsidR="004D1103">
        <w:t>;</w:t>
      </w:r>
      <w:r>
        <w:t xml:space="preserve"> acceptance and adoption of near</w:t>
      </w:r>
      <w:r w:rsidR="004D1103">
        <w:t>-</w:t>
      </w:r>
      <w:r>
        <w:t>universal gaming platform and/or operating system.</w:t>
      </w:r>
    </w:p>
    <w:p w:rsidR="00384D24" w:rsidRDefault="009B68C0" w:rsidP="00377AE5">
      <w:pPr>
        <w:tabs>
          <w:tab w:val="left" w:pos="720"/>
        </w:tabs>
        <w:spacing w:after="0"/>
      </w:pPr>
      <w:r>
        <w:t>Cognitive Domain: Application</w:t>
      </w:r>
    </w:p>
    <w:p w:rsidR="00384D24" w:rsidRDefault="009B68C0" w:rsidP="00377AE5">
      <w:pPr>
        <w:tabs>
          <w:tab w:val="left" w:pos="720"/>
        </w:tabs>
        <w:spacing w:after="0"/>
      </w:pPr>
      <w:r>
        <w:t>Difficulty Level: Medium</w:t>
      </w:r>
    </w:p>
    <w:p w:rsidR="00384D24" w:rsidRDefault="00384D24" w:rsidP="00377AE5">
      <w:pPr>
        <w:tabs>
          <w:tab w:val="left" w:pos="720"/>
        </w:tabs>
        <w:spacing w:after="0"/>
      </w:pPr>
    </w:p>
    <w:p w:rsidR="00384D24" w:rsidRDefault="009B68C0" w:rsidP="00377AE5">
      <w:pPr>
        <w:spacing w:after="0"/>
      </w:pPr>
      <w:r>
        <w:t xml:space="preserve">7a. In </w:t>
      </w:r>
      <w:r w:rsidR="004D1103">
        <w:t>W</w:t>
      </w:r>
      <w:r>
        <w:t>eek 7, labor productivity is 54/2</w:t>
      </w:r>
      <w:r w:rsidR="004D1103">
        <w:t xml:space="preserve"> </w:t>
      </w:r>
      <w:r>
        <w:t>=</w:t>
      </w:r>
      <w:r w:rsidR="004D1103">
        <w:t xml:space="preserve"> </w:t>
      </w:r>
      <w:r>
        <w:t>27 tiles/worker.</w:t>
      </w:r>
    </w:p>
    <w:p w:rsidR="00384D24" w:rsidRDefault="009B68C0" w:rsidP="00377AE5">
      <w:pPr>
        <w:spacing w:after="0"/>
      </w:pPr>
      <w:r>
        <w:t>7b. The floors may have different layouts that require trimming many or very few tiles</w:t>
      </w:r>
      <w:r w:rsidR="004D1103">
        <w:t>;</w:t>
      </w:r>
      <w:r>
        <w:t xml:space="preserve"> some jobs may require patterns rather than just one color tile</w:t>
      </w:r>
      <w:r w:rsidR="004D1103">
        <w:t>;</w:t>
      </w:r>
      <w:r>
        <w:t xml:space="preserve"> accessibility of power, water, or other on-site considerations may facilitate installation in some cases.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8. </w: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 w:rsidRPr="006937D3">
        <w:rPr>
          <w:position w:val="-26"/>
          <w:szCs w:val="24"/>
        </w:rPr>
        <w:object w:dxaOrig="40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3pt;height:31.35pt" o:ole="">
            <v:imagedata r:id="rId9" o:title=""/>
          </v:shape>
          <o:OLEObject Type="Embed" ProgID="Equation.DSMT4" ShapeID="_x0000_i1025" DrawAspect="Content" ObjectID="_1548144565" r:id="rId10"/>
        </w:object>
      </w:r>
      <w:r>
        <w:rPr>
          <w:szCs w:val="24"/>
        </w:rPr>
        <w:t xml:space="preserve"> ; </w:t>
      </w:r>
      <w:r w:rsidRPr="006937D3">
        <w:rPr>
          <w:position w:val="-26"/>
          <w:szCs w:val="24"/>
        </w:rPr>
        <w:object w:dxaOrig="4560" w:dyaOrig="639">
          <v:shape id="_x0000_i1026" type="#_x0000_t75" style="width:227.95pt;height:31.35pt" o:ole="">
            <v:imagedata r:id="rId11" o:title=""/>
          </v:shape>
          <o:OLEObject Type="Embed" ProgID="Equation.DSMT4" ShapeID="_x0000_i1026" DrawAspect="Content" ObjectID="_1548144566" r:id="rId12"/>
        </w:object>
      </w:r>
      <w:r>
        <w:rPr>
          <w:szCs w:val="24"/>
        </w:rPr>
        <w:t>;</w: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 w:rsidRPr="006937D3">
        <w:rPr>
          <w:position w:val="-26"/>
          <w:szCs w:val="24"/>
        </w:rPr>
        <w:object w:dxaOrig="4300" w:dyaOrig="639">
          <v:shape id="_x0000_i1027" type="#_x0000_t75" style="width:214.65pt;height:31.35pt" o:ole="">
            <v:imagedata r:id="rId13" o:title=""/>
          </v:shape>
          <o:OLEObject Type="Embed" ProgID="Equation.DSMT4" ShapeID="_x0000_i1027" DrawAspect="Content" ObjectID="_1548144567" r:id="rId14"/>
        </w:objec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 w:rsidRPr="006937D3">
        <w:rPr>
          <w:position w:val="-26"/>
          <w:szCs w:val="24"/>
        </w:rPr>
        <w:object w:dxaOrig="4959" w:dyaOrig="639">
          <v:shape id="_x0000_i1028" type="#_x0000_t75" style="width:247.35pt;height:31.35pt" o:ole="">
            <v:imagedata r:id="rId15" o:title=""/>
          </v:shape>
          <o:OLEObject Type="Embed" ProgID="Equation.DSMT4" ShapeID="_x0000_i1028" DrawAspect="Content" ObjectID="_1548144568" r:id="rId16"/>
        </w:objec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Udupi charges the wedding reception client significantly more per plate. On a </w:t>
      </w:r>
      <w:r w:rsidR="00E55BEE">
        <w:rPr>
          <w:szCs w:val="24"/>
        </w:rPr>
        <w:t>number-of-</w:t>
      </w:r>
      <w:r>
        <w:rPr>
          <w:szCs w:val="24"/>
        </w:rPr>
        <w:t>meals</w:t>
      </w:r>
      <w:r w:rsidR="00E55BEE">
        <w:rPr>
          <w:szCs w:val="24"/>
        </w:rPr>
        <w:t>-</w:t>
      </w:r>
      <w:r>
        <w:rPr>
          <w:szCs w:val="24"/>
        </w:rPr>
        <w:t>served</w:t>
      </w:r>
      <w:r w:rsidR="00E55BEE">
        <w:rPr>
          <w:szCs w:val="24"/>
        </w:rPr>
        <w:t>-</w:t>
      </w:r>
      <w:r>
        <w:rPr>
          <w:szCs w:val="24"/>
        </w:rPr>
        <w:t>per</w:t>
      </w:r>
      <w:r w:rsidR="00E55BEE">
        <w:rPr>
          <w:szCs w:val="24"/>
        </w:rPr>
        <w:t>-</w:t>
      </w:r>
      <w:r>
        <w:rPr>
          <w:szCs w:val="24"/>
        </w:rPr>
        <w:t>labor</w:t>
      </w:r>
      <w:r w:rsidR="00E55BEE">
        <w:rPr>
          <w:szCs w:val="24"/>
        </w:rPr>
        <w:t>-</w:t>
      </w:r>
      <w:r>
        <w:rPr>
          <w:szCs w:val="24"/>
        </w:rPr>
        <w:t>hour basis, the wedding reception is actually the least productive service. For the other three events, the material cost is the factor that makes them more productive or less productive.</w: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Cognitive Domain: Application</w: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>Difficulty Level: Medium</w:t>
      </w:r>
    </w:p>
    <w:p w:rsidR="00384D24" w:rsidRDefault="00384D24" w:rsidP="00377AE5">
      <w:pPr>
        <w:pStyle w:val="ListParagraph"/>
        <w:spacing w:after="0"/>
        <w:ind w:left="0"/>
        <w:rPr>
          <w:szCs w:val="24"/>
        </w:rPr>
      </w:pPr>
    </w:p>
    <w:p w:rsidR="00384D24" w:rsidRDefault="009B68C0" w:rsidP="00377AE5">
      <w:pPr>
        <w:spacing w:after="0"/>
      </w:pPr>
      <w:r>
        <w:t>9</w:t>
      </w:r>
      <w:r w:rsidRPr="00040C77">
        <w:t>a</w:t>
      </w:r>
      <w:r>
        <w:t>.</w:t>
      </w:r>
    </w:p>
    <w:p w:rsidR="00384D24" w:rsidRDefault="009B68C0" w:rsidP="00377AE5">
      <w:pPr>
        <w:spacing w:after="0"/>
      </w:pPr>
      <w:r>
        <w:t xml:space="preserve"> </w:t>
      </w:r>
      <w:r w:rsidRPr="00040C77">
        <w:rPr>
          <w:position w:val="-96"/>
        </w:rPr>
        <w:object w:dxaOrig="7320" w:dyaOrig="2020">
          <v:shape id="_x0000_i1029" type="#_x0000_t75" style="width:366.2pt;height:100.7pt" o:ole="">
            <v:imagedata r:id="rId17" o:title=""/>
          </v:shape>
          <o:OLEObject Type="Embed" ProgID="Equation.DSMT4" ShapeID="_x0000_i1029" DrawAspect="Content" ObjectID="_1548144569" r:id="rId18"/>
        </w:object>
      </w:r>
      <w:r>
        <w:t xml:space="preserve"> </w:t>
      </w:r>
    </w:p>
    <w:p w:rsidR="00384D24" w:rsidRDefault="009B68C0" w:rsidP="00377AE5">
      <w:pPr>
        <w:spacing w:after="0"/>
      </w:pPr>
      <w:r>
        <w:t>Material productivity is nearly identical, but U</w:t>
      </w:r>
      <w:r w:rsidR="004D1103">
        <w:t>.</w:t>
      </w:r>
      <w:r>
        <w:t>S</w:t>
      </w:r>
      <w:r w:rsidR="004D1103">
        <w:t>.</w:t>
      </w:r>
      <w:r>
        <w:t xml:space="preserve"> labor productivity is almost 40% higher</w:t>
      </w:r>
      <w:r w:rsidR="004D1103">
        <w:t>,</w:t>
      </w:r>
      <w:r>
        <w:t xml:space="preserve"> while Indian equipment productivity is 30% higher. Labor productivity may be driven by workforce skill or education</w:t>
      </w:r>
      <w:r w:rsidR="004D1103">
        <w:t>,</w:t>
      </w:r>
      <w:r>
        <w:t xml:space="preserve"> and equipment productivity may be a result of plant modernization, plant layout</w:t>
      </w:r>
      <w:r w:rsidR="004D1103">
        <w:t>,</w:t>
      </w:r>
      <w:r>
        <w:t xml:space="preserve"> or the general level of prices in each country.</w:t>
      </w:r>
    </w:p>
    <w:p w:rsidR="00384D24" w:rsidRDefault="009B68C0" w:rsidP="00377AE5">
      <w:pPr>
        <w:spacing w:after="0"/>
      </w:pPr>
      <w:r>
        <w:t>9b.</w:t>
      </w:r>
    </w:p>
    <w:p w:rsidR="00384D24" w:rsidRDefault="009B68C0" w:rsidP="00377AE5">
      <w:pPr>
        <w:spacing w:after="0"/>
      </w:pPr>
      <w:r>
        <w:lastRenderedPageBreak/>
        <w:t xml:space="preserve"> </w:t>
      </w:r>
      <w:r w:rsidRPr="00040C77">
        <w:rPr>
          <w:position w:val="-62"/>
        </w:rPr>
        <w:object w:dxaOrig="5880" w:dyaOrig="1359">
          <v:shape id="_x0000_i1030" type="#_x0000_t75" style="width:294.2pt;height:67.6pt" o:ole="">
            <v:imagedata r:id="rId19" o:title=""/>
          </v:shape>
          <o:OLEObject Type="Embed" ProgID="Equation.DSMT4" ShapeID="_x0000_i1030" DrawAspect="Content" ObjectID="_1548144570" r:id="rId20"/>
        </w:object>
      </w:r>
    </w:p>
    <w:p w:rsidR="00384D24" w:rsidRDefault="009B68C0" w:rsidP="00377AE5">
      <w:pPr>
        <w:spacing w:after="0"/>
      </w:pPr>
      <w:r>
        <w:t>Multifactor productivity gives a complete picture and compensates for substitution effects of labor versus capital.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10. </w:t>
      </w:r>
    </w:p>
    <w:p w:rsidR="00384D24" w:rsidRDefault="009B68C0" w:rsidP="00377AE5">
      <w:pPr>
        <w:spacing w:after="0"/>
      </w:pPr>
      <w:r w:rsidRPr="006F0EBC">
        <w:rPr>
          <w:position w:val="-66"/>
        </w:rPr>
        <w:object w:dxaOrig="4020" w:dyaOrig="1440">
          <v:shape id="_x0000_i1031" type="#_x0000_t75" style="width:201pt;height:1in" o:ole="">
            <v:imagedata r:id="rId21" o:title=""/>
          </v:shape>
          <o:OLEObject Type="Embed" ProgID="Equation.DSMT4" ShapeID="_x0000_i1031" DrawAspect="Content" ObjectID="_1548144571" r:id="rId22"/>
        </w:object>
      </w:r>
      <w:r>
        <w:t xml:space="preserve"> </w:t>
      </w:r>
    </w:p>
    <w:p w:rsidR="00384D24" w:rsidRDefault="009B68C0" w:rsidP="00377AE5">
      <w:pPr>
        <w:spacing w:after="0"/>
      </w:pPr>
      <w:r w:rsidRPr="006F0EBC">
        <w:rPr>
          <w:position w:val="-26"/>
        </w:rPr>
        <w:object w:dxaOrig="4920" w:dyaOrig="639">
          <v:shape id="_x0000_i1032" type="#_x0000_t75" style="width:246.05pt;height:31.35pt" o:ole="">
            <v:imagedata r:id="rId23" o:title=""/>
          </v:shape>
          <o:OLEObject Type="Embed" ProgID="Equation.DSMT4" ShapeID="_x0000_i1032" DrawAspect="Content" ObjectID="_1548144572" r:id="rId24"/>
        </w:object>
      </w:r>
      <w:r>
        <w:t xml:space="preserve"> 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11. </w:t>
      </w:r>
    </w:p>
    <w:p w:rsidR="00384D24" w:rsidRDefault="009B68C0" w:rsidP="00377AE5">
      <w:pPr>
        <w:spacing w:after="0"/>
      </w:pPr>
      <w:r w:rsidRPr="00CA4EE5">
        <w:rPr>
          <w:position w:val="-88"/>
        </w:rPr>
        <w:object w:dxaOrig="4959" w:dyaOrig="1920">
          <v:shape id="_x0000_i1033" type="#_x0000_t75" style="width:247.35pt;height:95.85pt" o:ole="">
            <v:imagedata r:id="rId25" o:title=""/>
          </v:shape>
          <o:OLEObject Type="Embed" ProgID="Equation.DSMT4" ShapeID="_x0000_i1033" DrawAspect="Content" ObjectID="_1548144573" r:id="rId26"/>
        </w:object>
      </w:r>
      <w:r>
        <w:t xml:space="preserve"> </w:t>
      </w:r>
    </w:p>
    <w:p w:rsidR="00384D24" w:rsidRDefault="00384D24" w:rsidP="00377AE5">
      <w:pPr>
        <w:spacing w:after="0"/>
      </w:pP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>
        <w:rPr>
          <w:szCs w:val="24"/>
        </w:rPr>
        <w:t xml:space="preserve">12. </w:t>
      </w:r>
    </w:p>
    <w:p w:rsidR="00384D24" w:rsidRDefault="009B68C0" w:rsidP="00377AE5">
      <w:pPr>
        <w:pStyle w:val="ListParagraph"/>
        <w:spacing w:after="0"/>
        <w:ind w:left="0"/>
        <w:rPr>
          <w:szCs w:val="24"/>
        </w:rPr>
      </w:pPr>
      <w:r w:rsidRPr="005A0919">
        <w:rPr>
          <w:position w:val="-94"/>
          <w:szCs w:val="24"/>
        </w:rPr>
        <w:object w:dxaOrig="6860" w:dyaOrig="2020">
          <v:shape id="_x0000_i1034" type="#_x0000_t75" style="width:343.2pt;height:100.7pt" o:ole="">
            <v:imagedata r:id="rId27" o:title=""/>
          </v:shape>
          <o:OLEObject Type="Embed" ProgID="Equation.DSMT4" ShapeID="_x0000_i1034" DrawAspect="Content" ObjectID="_1548144574" r:id="rId28"/>
        </w:objec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9B68C0" w:rsidRDefault="009B68C0" w:rsidP="009B68C0">
      <w:pPr>
        <w:spacing w:after="0"/>
      </w:pPr>
      <w:r>
        <w:t xml:space="preserve">13. </w:t>
      </w:r>
    </w:p>
    <w:p w:rsidR="009B68C0" w:rsidRDefault="00F16355" w:rsidP="009B68C0">
      <w:pPr>
        <w:spacing w:after="0"/>
      </w:pPr>
      <w:r w:rsidRPr="00377AE5">
        <w:rPr>
          <w:i/>
        </w:rPr>
        <w:lastRenderedPageBreak/>
        <w:t xml:space="preserve">Partial </w:t>
      </w:r>
      <w:r w:rsidRPr="00377AE5">
        <w:rPr>
          <w:i/>
        </w:rPr>
        <w:t>L</w:t>
      </w:r>
      <w:r w:rsidRPr="00377AE5">
        <w:rPr>
          <w:i/>
        </w:rPr>
        <w:t xml:space="preserve">abor </w:t>
      </w:r>
      <w:r w:rsidRPr="00377AE5">
        <w:rPr>
          <w:i/>
        </w:rPr>
        <w:t>P</w:t>
      </w:r>
      <w:r w:rsidRPr="00377AE5">
        <w:rPr>
          <w:i/>
        </w:rPr>
        <w:t>roductivity</w:t>
      </w:r>
      <w:r w:rsidR="009B68C0">
        <w:t xml:space="preserve">: </w:t>
      </w:r>
      <w:r w:rsidR="009B68C0" w:rsidRPr="003C54BA">
        <w:rPr>
          <w:position w:val="-28"/>
        </w:rPr>
        <w:object w:dxaOrig="2920" w:dyaOrig="660">
          <v:shape id="_x0000_i1035" type="#_x0000_t75" style="width:146.2pt;height:33.15pt" o:ole="">
            <v:imagedata r:id="rId29" o:title=""/>
          </v:shape>
          <o:OLEObject Type="Embed" ProgID="Equation.DSMT4" ShapeID="_x0000_i1035" DrawAspect="Content" ObjectID="_1548144575" r:id="rId30"/>
        </w:object>
      </w:r>
    </w:p>
    <w:p w:rsidR="009B68C0" w:rsidRDefault="00F16355" w:rsidP="009B68C0">
      <w:pPr>
        <w:spacing w:after="0"/>
      </w:pPr>
      <w:r w:rsidRPr="00377AE5">
        <w:rPr>
          <w:i/>
        </w:rPr>
        <w:t xml:space="preserve">Partial </w:t>
      </w:r>
      <w:r w:rsidRPr="00377AE5">
        <w:rPr>
          <w:i/>
        </w:rPr>
        <w:t>M</w:t>
      </w:r>
      <w:r w:rsidRPr="00377AE5">
        <w:rPr>
          <w:i/>
        </w:rPr>
        <w:t xml:space="preserve">achine </w:t>
      </w:r>
      <w:r w:rsidRPr="00377AE5">
        <w:rPr>
          <w:i/>
        </w:rPr>
        <w:t>P</w:t>
      </w:r>
      <w:r w:rsidRPr="00377AE5">
        <w:rPr>
          <w:i/>
        </w:rPr>
        <w:t>roductivity</w:t>
      </w:r>
      <w:r w:rsidR="009B68C0">
        <w:t xml:space="preserve">: </w:t>
      </w:r>
      <w:r w:rsidR="009B68C0" w:rsidRPr="003C54BA">
        <w:rPr>
          <w:position w:val="-28"/>
        </w:rPr>
        <w:object w:dxaOrig="2780" w:dyaOrig="660">
          <v:shape id="_x0000_i1036" type="#_x0000_t75" style="width:139.6pt;height:33.15pt" o:ole="">
            <v:imagedata r:id="rId31" o:title=""/>
          </v:shape>
          <o:OLEObject Type="Embed" ProgID="Equation.DSMT4" ShapeID="_x0000_i1036" DrawAspect="Content" ObjectID="_1548144576" r:id="rId32"/>
        </w:object>
      </w:r>
    </w:p>
    <w:p w:rsidR="009B68C0" w:rsidRDefault="00F16355" w:rsidP="009B68C0">
      <w:pPr>
        <w:spacing w:after="0"/>
      </w:pPr>
      <w:r w:rsidRPr="00377AE5">
        <w:rPr>
          <w:i/>
        </w:rPr>
        <w:t xml:space="preserve">Multifactor </w:t>
      </w:r>
      <w:r w:rsidRPr="00377AE5">
        <w:rPr>
          <w:i/>
        </w:rPr>
        <w:t>P</w:t>
      </w:r>
      <w:r w:rsidRPr="00377AE5">
        <w:rPr>
          <w:i/>
        </w:rPr>
        <w:t>roductivity</w:t>
      </w:r>
      <w:r w:rsidR="009B68C0">
        <w:t xml:space="preserve">: </w:t>
      </w:r>
      <w:r w:rsidR="009B68C0" w:rsidRPr="003C54BA">
        <w:rPr>
          <w:position w:val="-28"/>
        </w:rPr>
        <w:object w:dxaOrig="6460" w:dyaOrig="660">
          <v:shape id="_x0000_i1037" type="#_x0000_t75" style="width:323.35pt;height:33.15pt" o:ole="">
            <v:imagedata r:id="rId33" o:title=""/>
          </v:shape>
          <o:OLEObject Type="Embed" ProgID="Equation.DSMT4" ShapeID="_x0000_i1037" DrawAspect="Content" ObjectID="_1548144577" r:id="rId34"/>
        </w:object>
      </w:r>
    </w:p>
    <w:p w:rsidR="00374471" w:rsidRDefault="00374471" w:rsidP="009B68C0">
      <w:pPr>
        <w:spacing w:after="0"/>
      </w:pPr>
    </w:p>
    <w:p w:rsidR="00374471" w:rsidRDefault="009B68C0" w:rsidP="009B68C0">
      <w:pPr>
        <w:spacing w:after="0"/>
      </w:pPr>
      <w:r>
        <w:t>Cognitive Domain: Application</w:t>
      </w:r>
    </w:p>
    <w:p w:rsidR="009B68C0" w:rsidRDefault="009B68C0" w:rsidP="009B68C0">
      <w:pPr>
        <w:spacing w:after="0"/>
      </w:pPr>
      <w:r>
        <w:t>Difficulty Level: Medium</w:t>
      </w:r>
    </w:p>
    <w:p w:rsidR="009B68C0" w:rsidRDefault="009B68C0" w:rsidP="009B68C0">
      <w:pPr>
        <w:spacing w:after="0"/>
      </w:pPr>
    </w:p>
    <w:p w:rsidR="00384D24" w:rsidRDefault="009B68C0" w:rsidP="00377AE5">
      <w:pPr>
        <w:spacing w:after="0"/>
      </w:pPr>
      <w:r>
        <w:t>14abc.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29"/>
        <w:gridCol w:w="1005"/>
        <w:gridCol w:w="1120"/>
        <w:gridCol w:w="1003"/>
        <w:gridCol w:w="1056"/>
      </w:tblGrid>
      <w:tr w:rsidR="009B68C0" w:rsidTr="00673D4C">
        <w:tc>
          <w:tcPr>
            <w:tcW w:w="0" w:type="auto"/>
          </w:tcPr>
          <w:p w:rsidR="00384D24" w:rsidRDefault="00384D24" w:rsidP="00377AE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</w:tcPr>
          <w:p w:rsidR="00384D24" w:rsidRPr="00377AE5" w:rsidRDefault="00F16355" w:rsidP="00377AE5">
            <w:pPr>
              <w:spacing w:after="0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Chennai</w:t>
            </w:r>
          </w:p>
        </w:tc>
        <w:tc>
          <w:tcPr>
            <w:tcW w:w="0" w:type="auto"/>
          </w:tcPr>
          <w:p w:rsidR="00384D24" w:rsidRPr="00377AE5" w:rsidRDefault="00F16355" w:rsidP="00377AE5">
            <w:pPr>
              <w:spacing w:after="0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Shanghai</w:t>
            </w:r>
          </w:p>
        </w:tc>
        <w:tc>
          <w:tcPr>
            <w:tcW w:w="0" w:type="auto"/>
          </w:tcPr>
          <w:p w:rsidR="00384D24" w:rsidRPr="00377AE5" w:rsidRDefault="00F16355" w:rsidP="00377AE5">
            <w:pPr>
              <w:spacing w:after="0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Brussels</w:t>
            </w:r>
          </w:p>
        </w:tc>
        <w:tc>
          <w:tcPr>
            <w:tcW w:w="0" w:type="auto"/>
          </w:tcPr>
          <w:p w:rsidR="00384D24" w:rsidRPr="00377AE5" w:rsidRDefault="00F16355" w:rsidP="00377AE5">
            <w:pPr>
              <w:spacing w:after="0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Sharjah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Finished </w:t>
            </w:r>
            <w:r w:rsidR="00374471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oods in units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15,000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Work-in-process in units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1,500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Labor costs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$10,000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$12,000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$7000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$8000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Material costs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$45,000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$50,000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$60,000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$64, 000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Energy costs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$7,000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$9,000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$10,000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$5,000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Transportation costs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$5,000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$7,500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$11,000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$6,000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Overhead costs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$4,000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$5,500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$8,000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$6,500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Labor Productivity (units/$)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1.5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0.92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0.71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1.00</w:t>
            </w:r>
          </w:p>
        </w:tc>
      </w:tr>
      <w:tr w:rsidR="009B68C0" w:rsidTr="00673D4C"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Multifactor Productivity (units/$)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0.21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0.13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0.05</w:t>
            </w:r>
          </w:p>
        </w:tc>
        <w:tc>
          <w:tcPr>
            <w:tcW w:w="0" w:type="auto"/>
            <w:vAlign w:val="center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496C3D">
              <w:rPr>
                <w:rFonts w:ascii="Times New Roman" w:hAnsi="Times New Roman"/>
                <w:i/>
              </w:rPr>
              <w:t>0.31</w:t>
            </w:r>
          </w:p>
        </w:tc>
      </w:tr>
    </w:tbl>
    <w:p w:rsidR="00384D24" w:rsidRDefault="009B68C0" w:rsidP="00377AE5">
      <w:pPr>
        <w:spacing w:after="0"/>
      </w:pPr>
      <w:r>
        <w:t>Brussels has the lowest levels of both labor and multifactor productivity.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  <w:bookmarkStart w:id="0" w:name="_GoBack"/>
      <w:bookmarkEnd w:id="0"/>
    </w:p>
    <w:p w:rsidR="009B68C0" w:rsidRDefault="009B68C0" w:rsidP="009B68C0">
      <w:pPr>
        <w:spacing w:after="0"/>
      </w:pPr>
      <w:r>
        <w:t xml:space="preserve">15. 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2776"/>
        <w:gridCol w:w="1946"/>
        <w:gridCol w:w="1906"/>
        <w:gridCol w:w="1783"/>
      </w:tblGrid>
      <w:tr w:rsidR="009B68C0" w:rsidRPr="00C443C2" w:rsidTr="00673D4C">
        <w:tc>
          <w:tcPr>
            <w:tcW w:w="2819" w:type="dxa"/>
          </w:tcPr>
          <w:p w:rsidR="00384D24" w:rsidRDefault="00384D24" w:rsidP="00377AE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987" w:type="dxa"/>
          </w:tcPr>
          <w:p w:rsidR="00384D24" w:rsidRPr="00377AE5" w:rsidRDefault="00F16355" w:rsidP="00377AE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2013</w:t>
            </w:r>
          </w:p>
        </w:tc>
        <w:tc>
          <w:tcPr>
            <w:tcW w:w="1945" w:type="dxa"/>
          </w:tcPr>
          <w:p w:rsidR="00384D24" w:rsidRPr="00377AE5" w:rsidRDefault="00F16355" w:rsidP="00377AE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77AE5">
              <w:rPr>
                <w:i/>
              </w:rPr>
              <w:t>2014</w:t>
            </w:r>
          </w:p>
        </w:tc>
        <w:tc>
          <w:tcPr>
            <w:tcW w:w="1794" w:type="dxa"/>
          </w:tcPr>
          <w:p w:rsidR="00384D24" w:rsidRDefault="00384D24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 w:rsidRPr="00C443C2">
              <w:rPr>
                <w:rFonts w:ascii="Times New Roman" w:hAnsi="Times New Roman"/>
              </w:rPr>
              <w:t>Number of units produced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443C2">
              <w:rPr>
                <w:rFonts w:ascii="Times New Roman" w:hAnsi="Times New Roman"/>
              </w:rPr>
              <w:t>0,000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  <w:tc>
          <w:tcPr>
            <w:tcW w:w="1794" w:type="dxa"/>
          </w:tcPr>
          <w:p w:rsidR="00384D24" w:rsidRDefault="00384D24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 w:rsidRPr="00C443C2">
              <w:rPr>
                <w:rFonts w:ascii="Times New Roman" w:hAnsi="Times New Roman"/>
              </w:rPr>
              <w:t>Labor hours used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443C2">
              <w:rPr>
                <w:rFonts w:ascii="Times New Roman" w:hAnsi="Times New Roman"/>
              </w:rPr>
              <w:t>000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2900</w:t>
            </w:r>
          </w:p>
        </w:tc>
        <w:tc>
          <w:tcPr>
            <w:tcW w:w="1794" w:type="dxa"/>
          </w:tcPr>
          <w:p w:rsidR="00384D24" w:rsidRDefault="00384D24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 w:rsidRPr="00C443C2">
              <w:rPr>
                <w:rFonts w:ascii="Times New Roman" w:hAnsi="Times New Roman"/>
              </w:rPr>
              <w:t>Machine hours used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443C2">
              <w:rPr>
                <w:rFonts w:ascii="Times New Roman" w:hAnsi="Times New Roman"/>
              </w:rPr>
              <w:t>,000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1,200</w:t>
            </w:r>
          </w:p>
        </w:tc>
        <w:tc>
          <w:tcPr>
            <w:tcW w:w="1794" w:type="dxa"/>
          </w:tcPr>
          <w:p w:rsidR="00384D24" w:rsidRDefault="00384D24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 w:rsidRPr="00C443C2">
              <w:rPr>
                <w:rFonts w:ascii="Times New Roman" w:hAnsi="Times New Roman"/>
              </w:rPr>
              <w:t xml:space="preserve">Materials </w:t>
            </w:r>
            <w:r>
              <w:rPr>
                <w:rFonts w:ascii="Times New Roman" w:hAnsi="Times New Roman"/>
              </w:rPr>
              <w:t>used (</w:t>
            </w:r>
            <w:r w:rsidR="00374471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ounds)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794" w:type="dxa"/>
          </w:tcPr>
          <w:p w:rsidR="00384D24" w:rsidRDefault="00384D24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Energy (BTU)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C443C2">
              <w:rPr>
                <w:rFonts w:ascii="Times New Roman" w:hAnsi="Times New Roman"/>
              </w:rPr>
              <w:t>,000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29,000</w:t>
            </w:r>
          </w:p>
        </w:tc>
        <w:tc>
          <w:tcPr>
            <w:tcW w:w="1794" w:type="dxa"/>
          </w:tcPr>
          <w:p w:rsidR="00384D24" w:rsidRDefault="00377AE5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% Improvement</w:t>
            </w: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Labor productivity (units/labor hour</w:t>
            </w:r>
            <w:r w:rsidR="00374471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3.33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3.79</w:t>
            </w:r>
          </w:p>
        </w:tc>
        <w:tc>
          <w:tcPr>
            <w:tcW w:w="1794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13.79%</w:t>
            </w: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Machine productivity (units/machine hour)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10.00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9.17</w:t>
            </w:r>
          </w:p>
        </w:tc>
        <w:tc>
          <w:tcPr>
            <w:tcW w:w="1794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-8.33%</w:t>
            </w: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Material productivity (units/pound)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20.00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24.44</w:t>
            </w:r>
          </w:p>
        </w:tc>
        <w:tc>
          <w:tcPr>
            <w:tcW w:w="1794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22.22%</w:t>
            </w:r>
          </w:p>
        </w:tc>
      </w:tr>
      <w:tr w:rsidR="009B68C0" w:rsidRPr="00C443C2" w:rsidTr="00673D4C">
        <w:tc>
          <w:tcPr>
            <w:tcW w:w="2819" w:type="dxa"/>
          </w:tcPr>
          <w:p w:rsidR="00384D24" w:rsidRDefault="009B68C0" w:rsidP="00377AE5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Energy productivity (units/BTU)</w:t>
            </w:r>
          </w:p>
        </w:tc>
        <w:tc>
          <w:tcPr>
            <w:tcW w:w="1987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0.25</w:t>
            </w:r>
          </w:p>
        </w:tc>
        <w:tc>
          <w:tcPr>
            <w:tcW w:w="1945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0.38</w:t>
            </w:r>
          </w:p>
        </w:tc>
        <w:tc>
          <w:tcPr>
            <w:tcW w:w="1794" w:type="dxa"/>
          </w:tcPr>
          <w:p w:rsidR="00384D24" w:rsidRDefault="009B68C0" w:rsidP="00377AE5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  <w:r w:rsidRPr="00A877CC">
              <w:rPr>
                <w:rFonts w:ascii="Times New Roman" w:hAnsi="Times New Roman"/>
                <w:i/>
              </w:rPr>
              <w:t>51.72%</w:t>
            </w:r>
          </w:p>
        </w:tc>
      </w:tr>
    </w:tbl>
    <w:p w:rsidR="009B68C0" w:rsidRDefault="009B68C0" w:rsidP="009B68C0">
      <w:pPr>
        <w:spacing w:after="0"/>
      </w:pPr>
      <w:r>
        <w:t>Energy productivity shows the greatest percentage improvement.</w:t>
      </w:r>
    </w:p>
    <w:p w:rsidR="00374471" w:rsidRDefault="009B68C0" w:rsidP="009B68C0">
      <w:pPr>
        <w:spacing w:after="0"/>
      </w:pPr>
      <w:r>
        <w:t>Cognitive Domain: Application</w:t>
      </w:r>
    </w:p>
    <w:p w:rsidR="009B68C0" w:rsidRDefault="009B68C0" w:rsidP="009B68C0">
      <w:pPr>
        <w:spacing w:after="0"/>
      </w:pPr>
      <w:r>
        <w:t>Difficulty Level: Medium</w:t>
      </w:r>
    </w:p>
    <w:p w:rsidR="009B68C0" w:rsidRDefault="009B68C0" w:rsidP="009B68C0">
      <w:pPr>
        <w:spacing w:after="0"/>
      </w:pPr>
    </w:p>
    <w:p w:rsidR="009B68C0" w:rsidRDefault="009B68C0" w:rsidP="009B68C0">
      <w:pPr>
        <w:spacing w:after="0"/>
      </w:pPr>
      <w:r>
        <w:lastRenderedPageBreak/>
        <w:t xml:space="preserve">16. </w:t>
      </w:r>
    </w:p>
    <w:p w:rsidR="009B68C0" w:rsidRDefault="00F16355" w:rsidP="009B68C0">
      <w:pPr>
        <w:spacing w:after="0"/>
      </w:pPr>
      <w:r w:rsidRPr="00377AE5">
        <w:rPr>
          <w:i/>
        </w:rPr>
        <w:t>2013</w:t>
      </w:r>
      <w:r w:rsidR="009B68C0">
        <w:t xml:space="preserve">: </w:t>
      </w:r>
      <w:r w:rsidR="009B68C0" w:rsidRPr="00652947">
        <w:rPr>
          <w:position w:val="-28"/>
        </w:rPr>
        <w:object w:dxaOrig="5780" w:dyaOrig="660">
          <v:shape id="_x0000_i1038" type="#_x0000_t75" style="width:289.75pt;height:33.15pt" o:ole="">
            <v:imagedata r:id="rId35" o:title=""/>
          </v:shape>
          <o:OLEObject Type="Embed" ProgID="Equation.DSMT4" ShapeID="_x0000_i1038" DrawAspect="Content" ObjectID="_1548144578" r:id="rId36"/>
        </w:object>
      </w:r>
      <w:r w:rsidR="009B68C0">
        <w:t xml:space="preserve"> </w:t>
      </w:r>
    </w:p>
    <w:p w:rsidR="009B68C0" w:rsidRDefault="00F16355" w:rsidP="009B68C0">
      <w:pPr>
        <w:spacing w:after="0"/>
      </w:pPr>
      <w:r w:rsidRPr="00377AE5">
        <w:rPr>
          <w:i/>
        </w:rPr>
        <w:t>2014</w:t>
      </w:r>
      <w:r w:rsidR="009B68C0">
        <w:t xml:space="preserve">: </w:t>
      </w:r>
      <w:r w:rsidR="009B68C0" w:rsidRPr="00652947">
        <w:rPr>
          <w:position w:val="-28"/>
        </w:rPr>
        <w:object w:dxaOrig="5780" w:dyaOrig="660">
          <v:shape id="_x0000_i1039" type="#_x0000_t75" style="width:289.75pt;height:33.15pt" o:ole="">
            <v:imagedata r:id="rId37" o:title=""/>
          </v:shape>
          <o:OLEObject Type="Embed" ProgID="Equation.DSMT4" ShapeID="_x0000_i1039" DrawAspect="Content" ObjectID="_1548144579" r:id="rId38"/>
        </w:object>
      </w:r>
      <w:r w:rsidR="009B68C0">
        <w:t xml:space="preserve"> </w:t>
      </w:r>
    </w:p>
    <w:p w:rsidR="009B68C0" w:rsidRDefault="009B68C0" w:rsidP="009B68C0">
      <w:pPr>
        <w:spacing w:after="0"/>
      </w:pPr>
      <w:r>
        <w:t xml:space="preserve">The percentage change in productivity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0.17-0.14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0.14</m:t>
            </m:r>
          </m:den>
        </m:f>
      </m:oMath>
      <w:r>
        <w:t xml:space="preserve"> = 21.43%</w:t>
      </w:r>
    </w:p>
    <w:p w:rsidR="009B68C0" w:rsidRDefault="00374471" w:rsidP="009B68C0">
      <w:pPr>
        <w:spacing w:after="0"/>
      </w:pPr>
      <w:r>
        <w:t>Cognitive Domain: Application</w:t>
      </w:r>
    </w:p>
    <w:p w:rsidR="00374471" w:rsidRDefault="00374471" w:rsidP="009B68C0">
      <w:pPr>
        <w:spacing w:after="0"/>
      </w:pPr>
      <w:r>
        <w:t>Difficulty Level: Medium</w:t>
      </w:r>
    </w:p>
    <w:p w:rsidR="009B68C0" w:rsidRPr="00D54092" w:rsidRDefault="009B68C0" w:rsidP="009B68C0">
      <w:pPr>
        <w:spacing w:after="0"/>
      </w:pPr>
    </w:p>
    <w:p w:rsidR="00384D24" w:rsidRDefault="009B68C0" w:rsidP="00377AE5">
      <w:pPr>
        <w:spacing w:after="0"/>
      </w:pPr>
      <w:r>
        <w:t xml:space="preserve">17. </w:t>
      </w:r>
    </w:p>
    <w:p w:rsidR="00384D24" w:rsidRDefault="009B68C0" w:rsidP="00377AE5">
      <w:pPr>
        <w:spacing w:after="0"/>
      </w:pPr>
      <w:r w:rsidRPr="00652947">
        <w:rPr>
          <w:position w:val="-26"/>
        </w:rPr>
        <w:object w:dxaOrig="6860" w:dyaOrig="639">
          <v:shape id="_x0000_i1040" type="#_x0000_t75" style="width:343.2pt;height:31.35pt" o:ole="">
            <v:imagedata r:id="rId39" o:title=""/>
          </v:shape>
          <o:OLEObject Type="Embed" ProgID="Equation.DSMT4" ShapeID="_x0000_i1040" DrawAspect="Content" ObjectID="_1548144580" r:id="rId40"/>
        </w:object>
      </w:r>
      <w:r>
        <w:t xml:space="preserve"> 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384D24" w:rsidRDefault="00384D24" w:rsidP="00377AE5">
      <w:pPr>
        <w:spacing w:after="0"/>
      </w:pPr>
    </w:p>
    <w:p w:rsidR="00384D24" w:rsidRDefault="009B68C0" w:rsidP="00377AE5">
      <w:pPr>
        <w:spacing w:after="0"/>
      </w:pPr>
      <w:r>
        <w:t xml:space="preserve">18a. </w:t>
      </w:r>
      <w:proofErr w:type="gramStart"/>
      <w:r>
        <w:t>For</w:t>
      </w:r>
      <w:proofErr w:type="gramEnd"/>
      <w:r>
        <w:t xml:space="preserve"> May: </w:t>
      </w:r>
      <w:r w:rsidRPr="009A2111">
        <w:rPr>
          <w:position w:val="-28"/>
        </w:rPr>
        <w:object w:dxaOrig="5360" w:dyaOrig="660">
          <v:shape id="_x0000_i1041" type="#_x0000_t75" style="width:268.55pt;height:33.15pt" o:ole="">
            <v:imagedata r:id="rId41" o:title=""/>
          </v:shape>
          <o:OLEObject Type="Embed" ProgID="Equation.DSMT4" ShapeID="_x0000_i1041" DrawAspect="Content" ObjectID="_1548144581" r:id="rId42"/>
        </w:object>
      </w:r>
      <w:r>
        <w:t xml:space="preserve"> </w:t>
      </w:r>
    </w:p>
    <w:p w:rsidR="00384D24" w:rsidRDefault="009B68C0" w:rsidP="00377AE5">
      <w:pPr>
        <w:spacing w:after="0"/>
      </w:pPr>
      <w:r>
        <w:t xml:space="preserve">18b. </w:t>
      </w:r>
      <w:proofErr w:type="gramStart"/>
      <w:r>
        <w:t>For</w:t>
      </w:r>
      <w:proofErr w:type="gramEnd"/>
      <w:r>
        <w:t xml:space="preserve"> June: </w:t>
      </w:r>
      <w:r w:rsidRPr="009A2111">
        <w:rPr>
          <w:position w:val="-28"/>
        </w:rPr>
        <w:object w:dxaOrig="5360" w:dyaOrig="660">
          <v:shape id="_x0000_i1042" type="#_x0000_t75" style="width:268.55pt;height:33.15pt" o:ole="">
            <v:imagedata r:id="rId43" o:title=""/>
          </v:shape>
          <o:OLEObject Type="Embed" ProgID="Equation.DSMT4" ShapeID="_x0000_i1042" DrawAspect="Content" ObjectID="_1548144582" r:id="rId44"/>
        </w:object>
      </w:r>
      <w:r>
        <w:t xml:space="preserve"> </w:t>
      </w:r>
    </w:p>
    <w:p w:rsidR="00384D24" w:rsidRDefault="009B68C0" w:rsidP="00377AE5">
      <w:pPr>
        <w:spacing w:after="0"/>
      </w:pPr>
      <w:r>
        <w:t>Cognitive Domain: Application</w:t>
      </w:r>
    </w:p>
    <w:p w:rsidR="00384D24" w:rsidRDefault="009B68C0" w:rsidP="00377AE5">
      <w:pPr>
        <w:spacing w:after="0"/>
      </w:pPr>
      <w:r>
        <w:t>Difficulty Level: Medium</w:t>
      </w:r>
    </w:p>
    <w:p w:rsidR="00F32B74" w:rsidRDefault="00F32B74" w:rsidP="00377AE5">
      <w:pPr>
        <w:spacing w:after="0"/>
      </w:pPr>
    </w:p>
    <w:sectPr w:rsidR="00F32B74" w:rsidSect="003E708D">
      <w:headerReference w:type="default" r:id="rId45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74" w:rsidRDefault="00F32B74">
      <w:r>
        <w:separator/>
      </w:r>
    </w:p>
  </w:endnote>
  <w:endnote w:type="continuationSeparator" w:id="0">
    <w:p w:rsidR="00F32B74" w:rsidRDefault="00F3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74" w:rsidRDefault="00F32B74">
      <w:r>
        <w:separator/>
      </w:r>
    </w:p>
  </w:footnote>
  <w:footnote w:type="continuationSeparator" w:id="0">
    <w:p w:rsidR="00F32B74" w:rsidRDefault="00F32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01F" w:rsidRDefault="004762E3" w:rsidP="003E708D">
    <w:pPr>
      <w:pStyle w:val="Header"/>
      <w:jc w:val="right"/>
    </w:pPr>
    <w:r>
      <w:t>Instructor</w:t>
    </w:r>
    <w:r w:rsidR="00542CC3">
      <w:t xml:space="preserve"> </w:t>
    </w:r>
    <w:r>
      <w:t>Resource</w:t>
    </w:r>
  </w:p>
  <w:p w:rsidR="004762E3" w:rsidRDefault="009B68C0" w:rsidP="003E708D">
    <w:pPr>
      <w:pStyle w:val="Header"/>
      <w:jc w:val="right"/>
      <w:rPr>
        <w:i/>
      </w:rPr>
    </w:pPr>
    <w:proofErr w:type="spellStart"/>
    <w:r>
      <w:t>Venkataraman</w:t>
    </w:r>
    <w:proofErr w:type="spellEnd"/>
    <w:r w:rsidR="004762E3">
      <w:t xml:space="preserve">, </w:t>
    </w:r>
    <w:r>
      <w:rPr>
        <w:i/>
      </w:rPr>
      <w:t>Operations Management</w:t>
    </w:r>
    <w:r w:rsidR="00542CC3">
      <w:rPr>
        <w:i/>
      </w:rPr>
      <w:t xml:space="preserve">, </w:t>
    </w:r>
    <w:r w:rsidR="00AE69CD">
      <w:rPr>
        <w:i/>
      </w:rPr>
      <w:t>1e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AE69CD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B4"/>
    <w:rsid w:val="00024CB8"/>
    <w:rsid w:val="00033437"/>
    <w:rsid w:val="000F388C"/>
    <w:rsid w:val="00185227"/>
    <w:rsid w:val="001B761C"/>
    <w:rsid w:val="001F7343"/>
    <w:rsid w:val="00227074"/>
    <w:rsid w:val="002633A4"/>
    <w:rsid w:val="00272B2E"/>
    <w:rsid w:val="002D0F36"/>
    <w:rsid w:val="00327683"/>
    <w:rsid w:val="00331370"/>
    <w:rsid w:val="00361935"/>
    <w:rsid w:val="00370467"/>
    <w:rsid w:val="00374471"/>
    <w:rsid w:val="00377AE5"/>
    <w:rsid w:val="00384D24"/>
    <w:rsid w:val="00393EAF"/>
    <w:rsid w:val="003A250E"/>
    <w:rsid w:val="003C4235"/>
    <w:rsid w:val="003E708D"/>
    <w:rsid w:val="003E7BF7"/>
    <w:rsid w:val="003F0E55"/>
    <w:rsid w:val="0041308D"/>
    <w:rsid w:val="00435F12"/>
    <w:rsid w:val="004762E3"/>
    <w:rsid w:val="00486A8A"/>
    <w:rsid w:val="004B17D5"/>
    <w:rsid w:val="004C7FAF"/>
    <w:rsid w:val="004D1103"/>
    <w:rsid w:val="00500B36"/>
    <w:rsid w:val="0053536D"/>
    <w:rsid w:val="00542CC3"/>
    <w:rsid w:val="005646CF"/>
    <w:rsid w:val="00582851"/>
    <w:rsid w:val="00593132"/>
    <w:rsid w:val="005F6A42"/>
    <w:rsid w:val="00616A17"/>
    <w:rsid w:val="006537C0"/>
    <w:rsid w:val="00661127"/>
    <w:rsid w:val="0067627F"/>
    <w:rsid w:val="006A16DB"/>
    <w:rsid w:val="006D1107"/>
    <w:rsid w:val="006E1D22"/>
    <w:rsid w:val="0072507A"/>
    <w:rsid w:val="007557A1"/>
    <w:rsid w:val="00761723"/>
    <w:rsid w:val="007B2823"/>
    <w:rsid w:val="00811EC9"/>
    <w:rsid w:val="00852986"/>
    <w:rsid w:val="00870008"/>
    <w:rsid w:val="00876836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9B68C0"/>
    <w:rsid w:val="00A059F3"/>
    <w:rsid w:val="00A1465F"/>
    <w:rsid w:val="00A44E55"/>
    <w:rsid w:val="00A84C45"/>
    <w:rsid w:val="00AB42AC"/>
    <w:rsid w:val="00AC6F15"/>
    <w:rsid w:val="00AD5452"/>
    <w:rsid w:val="00AD5E2E"/>
    <w:rsid w:val="00AE69CD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DC4378"/>
    <w:rsid w:val="00E352E1"/>
    <w:rsid w:val="00E52712"/>
    <w:rsid w:val="00E55BEE"/>
    <w:rsid w:val="00E74418"/>
    <w:rsid w:val="00EC67A7"/>
    <w:rsid w:val="00EC6AC2"/>
    <w:rsid w:val="00F16355"/>
    <w:rsid w:val="00F32B74"/>
    <w:rsid w:val="00F4373D"/>
    <w:rsid w:val="00F54DB9"/>
    <w:rsid w:val="00F7153D"/>
    <w:rsid w:val="00F77A8F"/>
    <w:rsid w:val="00FD48B4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9B68C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7447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4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471"/>
  </w:style>
  <w:style w:type="paragraph" w:styleId="CommentSubject">
    <w:name w:val="annotation subject"/>
    <w:basedOn w:val="CommentText"/>
    <w:next w:val="CommentText"/>
    <w:link w:val="CommentSubjectChar"/>
    <w:rsid w:val="003744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74471"/>
    <w:rPr>
      <w:b/>
      <w:bCs/>
    </w:rPr>
  </w:style>
  <w:style w:type="paragraph" w:styleId="Revision">
    <w:name w:val="Revision"/>
    <w:hidden/>
    <w:uiPriority w:val="99"/>
    <w:semiHidden/>
    <w:rsid w:val="0037447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table" w:styleId="TableGrid">
    <w:name w:val="Table Grid"/>
    <w:basedOn w:val="TableNormal"/>
    <w:uiPriority w:val="39"/>
    <w:rsid w:val="009B68C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7447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4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471"/>
  </w:style>
  <w:style w:type="paragraph" w:styleId="CommentSubject">
    <w:name w:val="annotation subject"/>
    <w:basedOn w:val="CommentText"/>
    <w:next w:val="CommentText"/>
    <w:link w:val="CommentSubjectChar"/>
    <w:rsid w:val="003744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74471"/>
    <w:rPr>
      <w:b/>
      <w:bCs/>
    </w:rPr>
  </w:style>
  <w:style w:type="paragraph" w:styleId="Revision">
    <w:name w:val="Revision"/>
    <w:hidden/>
    <w:uiPriority w:val="99"/>
    <w:semiHidden/>
    <w:rsid w:val="003744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Local\Microsoft\Windows\INetCache\IE\AT2AC056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C74DA-04AB-493E-9ABB-48E12B23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6390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harris</dc:creator>
  <cp:lastModifiedBy>SageUser</cp:lastModifiedBy>
  <cp:revision>2</cp:revision>
  <dcterms:created xsi:type="dcterms:W3CDTF">2017-02-09T19:23:00Z</dcterms:created>
  <dcterms:modified xsi:type="dcterms:W3CDTF">2017-02-09T19:23:00Z</dcterms:modified>
</cp:coreProperties>
</file>